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40" w:rsidRPr="00190E08" w:rsidRDefault="00CD6640" w:rsidP="00190E08">
      <w:pPr>
        <w:jc w:val="center"/>
        <w:rPr>
          <w:b/>
          <w:sz w:val="28"/>
          <w:szCs w:val="28"/>
          <w:u w:val="single"/>
        </w:rPr>
      </w:pPr>
      <w:r w:rsidRPr="00190E08">
        <w:rPr>
          <w:b/>
          <w:sz w:val="28"/>
          <w:szCs w:val="28"/>
          <w:u w:val="single"/>
        </w:rPr>
        <w:t xml:space="preserve">Referaat </w:t>
      </w:r>
      <w:r w:rsidR="00190E08" w:rsidRPr="00190E08">
        <w:rPr>
          <w:b/>
          <w:sz w:val="28"/>
          <w:szCs w:val="28"/>
          <w:u w:val="single"/>
        </w:rPr>
        <w:t xml:space="preserve">Nieuwste ontwikkelingen binnen de </w:t>
      </w:r>
      <w:r w:rsidRPr="00190E08">
        <w:rPr>
          <w:b/>
          <w:sz w:val="28"/>
          <w:szCs w:val="28"/>
          <w:u w:val="single"/>
        </w:rPr>
        <w:t>vakgroep ontwikkelingsstoornissen</w:t>
      </w:r>
    </w:p>
    <w:p w:rsidR="00190E08" w:rsidRPr="00190E08" w:rsidRDefault="00190E08" w:rsidP="00190E08">
      <w:pPr>
        <w:jc w:val="center"/>
        <w:rPr>
          <w:b/>
        </w:rPr>
      </w:pPr>
      <w:r w:rsidRPr="00190E08">
        <w:rPr>
          <w:b/>
        </w:rPr>
        <w:t xml:space="preserve">We zullen jullie bijpraten over de ontwikkelingen binnen de expertisegroepen Autisme, Infant </w:t>
      </w:r>
      <w:proofErr w:type="spellStart"/>
      <w:r w:rsidRPr="00190E08">
        <w:rPr>
          <w:b/>
        </w:rPr>
        <w:t>Mental</w:t>
      </w:r>
      <w:proofErr w:type="spellEnd"/>
      <w:r w:rsidRPr="00190E08">
        <w:rPr>
          <w:b/>
        </w:rPr>
        <w:t xml:space="preserve"> Health en Licht Verstandelijke Beperking.</w:t>
      </w:r>
    </w:p>
    <w:p w:rsidR="00190E08" w:rsidRPr="00190E08" w:rsidRDefault="00190E08" w:rsidP="00190E08">
      <w:pPr>
        <w:jc w:val="center"/>
        <w:rPr>
          <w:b/>
        </w:rPr>
      </w:pPr>
      <w:r w:rsidRPr="00190E08">
        <w:rPr>
          <w:b/>
        </w:rPr>
        <w:t>Maandag 8 april</w:t>
      </w:r>
    </w:p>
    <w:p w:rsidR="00CD6640" w:rsidRPr="00190E08" w:rsidRDefault="00190E08" w:rsidP="00190E08">
      <w:pPr>
        <w:jc w:val="center"/>
        <w:rPr>
          <w:b/>
        </w:rPr>
      </w:pPr>
      <w:r w:rsidRPr="00190E08">
        <w:rPr>
          <w:b/>
        </w:rPr>
        <w:t>Locatie: de Bascule, Meibergdreef 5, Amsterdam Zuidoost, Ruimte PA0-232</w:t>
      </w:r>
    </w:p>
    <w:p w:rsidR="00CD6640" w:rsidRDefault="00CD6640" w:rsidP="00CD6640">
      <w:r>
        <w:t>Het programma:</w:t>
      </w:r>
    </w:p>
    <w:tbl>
      <w:tblPr>
        <w:tblStyle w:val="Tabelraster"/>
        <w:tblW w:w="14454" w:type="dxa"/>
        <w:tblLook w:val="04A0" w:firstRow="1" w:lastRow="0" w:firstColumn="1" w:lastColumn="0" w:noHBand="0" w:noVBand="1"/>
      </w:tblPr>
      <w:tblGrid>
        <w:gridCol w:w="1696"/>
        <w:gridCol w:w="9639"/>
        <w:gridCol w:w="3119"/>
      </w:tblGrid>
      <w:tr w:rsidR="00190E08" w:rsidRPr="00190E08" w:rsidTr="00190E08">
        <w:tc>
          <w:tcPr>
            <w:tcW w:w="1696" w:type="dxa"/>
            <w:shd w:val="clear" w:color="auto" w:fill="F4B083" w:themeFill="accent2" w:themeFillTint="99"/>
          </w:tcPr>
          <w:p w:rsidR="00190E08" w:rsidRPr="001029F0" w:rsidRDefault="00190E08" w:rsidP="00CD6640">
            <w:pPr>
              <w:rPr>
                <w:b/>
                <w:i/>
                <w:sz w:val="20"/>
                <w:szCs w:val="20"/>
              </w:rPr>
            </w:pPr>
            <w:r w:rsidRPr="001029F0">
              <w:rPr>
                <w:b/>
                <w:i/>
                <w:sz w:val="20"/>
                <w:szCs w:val="20"/>
              </w:rPr>
              <w:t>Tijd</w:t>
            </w:r>
          </w:p>
        </w:tc>
        <w:tc>
          <w:tcPr>
            <w:tcW w:w="9639" w:type="dxa"/>
            <w:shd w:val="clear" w:color="auto" w:fill="F4B083" w:themeFill="accent2" w:themeFillTint="99"/>
          </w:tcPr>
          <w:p w:rsidR="00190E08" w:rsidRPr="001029F0" w:rsidRDefault="00190E08" w:rsidP="00CD6640">
            <w:pPr>
              <w:rPr>
                <w:b/>
                <w:i/>
                <w:sz w:val="20"/>
                <w:szCs w:val="20"/>
              </w:rPr>
            </w:pPr>
            <w:r w:rsidRPr="001029F0">
              <w:rPr>
                <w:b/>
                <w:i/>
                <w:sz w:val="20"/>
                <w:szCs w:val="20"/>
              </w:rPr>
              <w:t>Titel/ omschrijving</w:t>
            </w:r>
          </w:p>
        </w:tc>
        <w:tc>
          <w:tcPr>
            <w:tcW w:w="3119" w:type="dxa"/>
            <w:shd w:val="clear" w:color="auto" w:fill="F4B083" w:themeFill="accent2" w:themeFillTint="99"/>
          </w:tcPr>
          <w:p w:rsidR="00190E08" w:rsidRPr="001029F0" w:rsidRDefault="00190E08" w:rsidP="00CD6640">
            <w:pPr>
              <w:rPr>
                <w:b/>
                <w:i/>
                <w:sz w:val="20"/>
                <w:szCs w:val="20"/>
              </w:rPr>
            </w:pPr>
            <w:r w:rsidRPr="001029F0">
              <w:rPr>
                <w:b/>
                <w:i/>
                <w:sz w:val="20"/>
                <w:szCs w:val="20"/>
              </w:rPr>
              <w:t>spreker</w:t>
            </w:r>
          </w:p>
        </w:tc>
      </w:tr>
      <w:tr w:rsidR="00190E08" w:rsidTr="00190E08">
        <w:tc>
          <w:tcPr>
            <w:tcW w:w="1696" w:type="dxa"/>
          </w:tcPr>
          <w:p w:rsidR="00190E08" w:rsidRPr="001029F0" w:rsidRDefault="00190E08" w:rsidP="00190E08">
            <w:pPr>
              <w:rPr>
                <w:sz w:val="20"/>
                <w:szCs w:val="20"/>
              </w:rPr>
            </w:pPr>
            <w:r w:rsidRPr="001029F0">
              <w:rPr>
                <w:sz w:val="20"/>
                <w:szCs w:val="20"/>
              </w:rPr>
              <w:t>08.45 – 8.50 uur</w:t>
            </w:r>
          </w:p>
        </w:tc>
        <w:tc>
          <w:tcPr>
            <w:tcW w:w="9639" w:type="dxa"/>
          </w:tcPr>
          <w:p w:rsidR="00190E08" w:rsidRPr="001029F0" w:rsidRDefault="00190E08" w:rsidP="00190E08">
            <w:pPr>
              <w:rPr>
                <w:sz w:val="20"/>
                <w:szCs w:val="20"/>
              </w:rPr>
            </w:pPr>
            <w:r w:rsidRPr="001029F0">
              <w:rPr>
                <w:sz w:val="20"/>
                <w:szCs w:val="20"/>
              </w:rPr>
              <w:t>korte introductie</w:t>
            </w:r>
          </w:p>
        </w:tc>
        <w:tc>
          <w:tcPr>
            <w:tcW w:w="3119" w:type="dxa"/>
          </w:tcPr>
          <w:p w:rsidR="00190E08" w:rsidRPr="001029F0" w:rsidRDefault="001029F0" w:rsidP="00190E08">
            <w:pPr>
              <w:rPr>
                <w:sz w:val="20"/>
                <w:szCs w:val="20"/>
              </w:rPr>
            </w:pPr>
            <w:r>
              <w:rPr>
                <w:sz w:val="20"/>
                <w:szCs w:val="20"/>
              </w:rPr>
              <w:t xml:space="preserve">Dr. </w:t>
            </w:r>
            <w:r w:rsidR="00190E08" w:rsidRPr="001029F0">
              <w:rPr>
                <w:sz w:val="20"/>
                <w:szCs w:val="20"/>
              </w:rPr>
              <w:t>Irma Hein</w:t>
            </w:r>
            <w:r>
              <w:rPr>
                <w:sz w:val="20"/>
                <w:szCs w:val="20"/>
              </w:rPr>
              <w:t>,</w:t>
            </w:r>
            <w:r w:rsidRPr="001029F0">
              <w:rPr>
                <w:sz w:val="20"/>
                <w:szCs w:val="20"/>
              </w:rPr>
              <w:t xml:space="preserve"> </w:t>
            </w:r>
            <w:proofErr w:type="spellStart"/>
            <w:r w:rsidRPr="001029F0">
              <w:rPr>
                <w:sz w:val="20"/>
                <w:szCs w:val="20"/>
              </w:rPr>
              <w:t>vakgroepleider</w:t>
            </w:r>
            <w:proofErr w:type="spellEnd"/>
          </w:p>
        </w:tc>
      </w:tr>
      <w:tr w:rsidR="00190E08" w:rsidTr="00190E08">
        <w:tc>
          <w:tcPr>
            <w:tcW w:w="1696" w:type="dxa"/>
          </w:tcPr>
          <w:p w:rsidR="00190E08" w:rsidRPr="001029F0" w:rsidRDefault="00190E08" w:rsidP="00190E08">
            <w:pPr>
              <w:rPr>
                <w:sz w:val="20"/>
                <w:szCs w:val="20"/>
              </w:rPr>
            </w:pPr>
            <w:r w:rsidRPr="001029F0">
              <w:rPr>
                <w:sz w:val="20"/>
                <w:szCs w:val="20"/>
              </w:rPr>
              <w:t>08.50-09.05</w:t>
            </w:r>
          </w:p>
        </w:tc>
        <w:tc>
          <w:tcPr>
            <w:tcW w:w="9639" w:type="dxa"/>
          </w:tcPr>
          <w:p w:rsidR="00190E08" w:rsidRDefault="00190E08" w:rsidP="00190E08">
            <w:pPr>
              <w:rPr>
                <w:sz w:val="20"/>
                <w:szCs w:val="20"/>
              </w:rPr>
            </w:pPr>
            <w:r w:rsidRPr="001029F0">
              <w:rPr>
                <w:sz w:val="20"/>
                <w:szCs w:val="20"/>
              </w:rPr>
              <w:t>ontwikkelingen binnen EG Autisme</w:t>
            </w:r>
          </w:p>
          <w:p w:rsidR="00D01E06" w:rsidRPr="00D01E06" w:rsidRDefault="00D01E06" w:rsidP="00D01E06">
            <w:pPr>
              <w:rPr>
                <w:b/>
                <w:sz w:val="20"/>
                <w:szCs w:val="20"/>
              </w:rPr>
            </w:pPr>
            <w:proofErr w:type="spellStart"/>
            <w:r w:rsidRPr="00D01E06">
              <w:rPr>
                <w:b/>
                <w:sz w:val="20"/>
                <w:szCs w:val="20"/>
              </w:rPr>
              <w:t>Theory</w:t>
            </w:r>
            <w:proofErr w:type="spellEnd"/>
            <w:r w:rsidRPr="00D01E06">
              <w:rPr>
                <w:b/>
                <w:sz w:val="20"/>
                <w:szCs w:val="20"/>
              </w:rPr>
              <w:t xml:space="preserve"> of Mind</w:t>
            </w:r>
            <w:bookmarkStart w:id="0" w:name="_GoBack"/>
            <w:bookmarkEnd w:id="0"/>
          </w:p>
          <w:p w:rsidR="00D01E06" w:rsidRPr="001029F0" w:rsidRDefault="00D01E06" w:rsidP="00D01E06">
            <w:pPr>
              <w:rPr>
                <w:sz w:val="20"/>
                <w:szCs w:val="20"/>
              </w:rPr>
            </w:pPr>
            <w:proofErr w:type="spellStart"/>
            <w:r w:rsidRPr="00D01E06">
              <w:rPr>
                <w:sz w:val="20"/>
                <w:szCs w:val="20"/>
              </w:rPr>
              <w:t>Theory</w:t>
            </w:r>
            <w:proofErr w:type="spellEnd"/>
            <w:r w:rsidRPr="00D01E06">
              <w:rPr>
                <w:sz w:val="20"/>
                <w:szCs w:val="20"/>
              </w:rPr>
              <w:t xml:space="preserve">-of-Mind is het sociaal-cognitief vermogen om gevoelens, gedachten, ideeën en intenties aan jezelf en aan anderen toe te schrijven en op basis daarvan gedrag te voorspellen en te verklaren. Deze vaardigheid vormt een eerste vereiste voor het begrijpen van de sociale omgeving en voor het vertonen van sociaal competent gedrag. Kinderen met autisme hebben ernstige </w:t>
            </w:r>
            <w:proofErr w:type="spellStart"/>
            <w:r w:rsidRPr="00D01E06">
              <w:rPr>
                <w:sz w:val="20"/>
                <w:szCs w:val="20"/>
              </w:rPr>
              <w:t>Theory</w:t>
            </w:r>
            <w:proofErr w:type="spellEnd"/>
            <w:r w:rsidRPr="00D01E06">
              <w:rPr>
                <w:sz w:val="20"/>
                <w:szCs w:val="20"/>
              </w:rPr>
              <w:t xml:space="preserve">-of-Mind problemen. Ze kunnen zich moeilijk inleven in de gedachten en gevoelens van anderen, waardoor ze sociaal ook vaak de plank misslaan. Minder is bekend over de </w:t>
            </w:r>
            <w:proofErr w:type="spellStart"/>
            <w:r w:rsidRPr="00D01E06">
              <w:rPr>
                <w:sz w:val="20"/>
                <w:szCs w:val="20"/>
              </w:rPr>
              <w:t>Theory</w:t>
            </w:r>
            <w:proofErr w:type="spellEnd"/>
            <w:r w:rsidRPr="00D01E06">
              <w:rPr>
                <w:sz w:val="20"/>
                <w:szCs w:val="20"/>
              </w:rPr>
              <w:t xml:space="preserve">-of-Mind vaardigheden van kinderen met PDD-NOS. In deze presentatie wordt ingegaan op de achtergrond en lopend onderzoek naar </w:t>
            </w:r>
            <w:proofErr w:type="spellStart"/>
            <w:r w:rsidRPr="00D01E06">
              <w:rPr>
                <w:sz w:val="20"/>
                <w:szCs w:val="20"/>
              </w:rPr>
              <w:t>ToM.</w:t>
            </w:r>
            <w:proofErr w:type="spellEnd"/>
          </w:p>
        </w:tc>
        <w:tc>
          <w:tcPr>
            <w:tcW w:w="3119" w:type="dxa"/>
          </w:tcPr>
          <w:p w:rsidR="00190E08" w:rsidRPr="001029F0" w:rsidRDefault="00190E08" w:rsidP="00190E08">
            <w:pPr>
              <w:rPr>
                <w:sz w:val="20"/>
                <w:szCs w:val="20"/>
              </w:rPr>
            </w:pPr>
            <w:r w:rsidRPr="001029F0">
              <w:rPr>
                <w:sz w:val="20"/>
                <w:szCs w:val="20"/>
              </w:rPr>
              <w:t>door Britt Hoogenboom en Anne Kuin, kinder- en jeugdpsychiaters</w:t>
            </w:r>
          </w:p>
        </w:tc>
      </w:tr>
      <w:tr w:rsidR="00190E08" w:rsidTr="00190E08">
        <w:tc>
          <w:tcPr>
            <w:tcW w:w="1696" w:type="dxa"/>
          </w:tcPr>
          <w:p w:rsidR="00190E08" w:rsidRPr="001029F0" w:rsidRDefault="00190E08" w:rsidP="00190E08">
            <w:pPr>
              <w:rPr>
                <w:sz w:val="20"/>
                <w:szCs w:val="20"/>
              </w:rPr>
            </w:pPr>
            <w:r w:rsidRPr="001029F0">
              <w:rPr>
                <w:sz w:val="20"/>
                <w:szCs w:val="20"/>
              </w:rPr>
              <w:t>09.05-09.20</w:t>
            </w:r>
          </w:p>
        </w:tc>
        <w:tc>
          <w:tcPr>
            <w:tcW w:w="9639" w:type="dxa"/>
          </w:tcPr>
          <w:p w:rsidR="00190E08" w:rsidRPr="001029F0" w:rsidRDefault="00190E08" w:rsidP="00190E08">
            <w:pPr>
              <w:rPr>
                <w:sz w:val="20"/>
                <w:szCs w:val="20"/>
              </w:rPr>
            </w:pPr>
            <w:r w:rsidRPr="001029F0">
              <w:rPr>
                <w:sz w:val="20"/>
                <w:szCs w:val="20"/>
              </w:rPr>
              <w:t>ontwikkelingen binnen EG LVB</w:t>
            </w:r>
          </w:p>
          <w:p w:rsidR="00190E08" w:rsidRPr="001029F0" w:rsidRDefault="00190E08" w:rsidP="00190E08">
            <w:pPr>
              <w:pStyle w:val="Normaalweb"/>
              <w:rPr>
                <w:rFonts w:ascii="Calibri" w:hAnsi="Calibri" w:cs="Calibri"/>
                <w:b/>
                <w:bCs/>
                <w:sz w:val="20"/>
                <w:szCs w:val="20"/>
              </w:rPr>
            </w:pPr>
            <w:r w:rsidRPr="001029F0">
              <w:rPr>
                <w:rFonts w:ascii="Calibri" w:hAnsi="Calibri" w:cs="Calibri"/>
                <w:b/>
                <w:bCs/>
                <w:sz w:val="20"/>
                <w:szCs w:val="20"/>
              </w:rPr>
              <w:t>De ontwikkeling van de Vineland-3-NL, een nieuw onderzoeksinstrument voor het meten van adaptieve vermogens. </w:t>
            </w:r>
          </w:p>
          <w:p w:rsidR="00190E08" w:rsidRPr="001029F0" w:rsidRDefault="00190E08" w:rsidP="00190E08">
            <w:pPr>
              <w:pStyle w:val="Normaalweb"/>
              <w:rPr>
                <w:rFonts w:ascii="Calibri" w:hAnsi="Calibri" w:cs="Calibri"/>
                <w:sz w:val="20"/>
                <w:szCs w:val="20"/>
              </w:rPr>
            </w:pPr>
            <w:r w:rsidRPr="001029F0">
              <w:rPr>
                <w:rFonts w:ascii="Calibri" w:hAnsi="Calibri" w:cs="Calibri"/>
                <w:sz w:val="20"/>
                <w:szCs w:val="20"/>
              </w:rPr>
              <w:t xml:space="preserve">1 op de 7 kinderen binnen de psychiatrie heeft een verstandelijke beperking (IQ &lt; 70). Dit maakt het belangrijk om te weten hoe een verstandelijke beperking vast te stellen, in overeenstemming met de nieuwe DSM 5 criteria. De </w:t>
            </w:r>
            <w:proofErr w:type="spellStart"/>
            <w:r w:rsidRPr="001029F0">
              <w:rPr>
                <w:rFonts w:ascii="Calibri" w:hAnsi="Calibri" w:cs="Calibri"/>
                <w:sz w:val="20"/>
                <w:szCs w:val="20"/>
              </w:rPr>
              <w:t>Vineland</w:t>
            </w:r>
            <w:proofErr w:type="spellEnd"/>
            <w:r w:rsidRPr="001029F0">
              <w:rPr>
                <w:rFonts w:ascii="Calibri" w:hAnsi="Calibri" w:cs="Calibri"/>
                <w:sz w:val="20"/>
                <w:szCs w:val="20"/>
              </w:rPr>
              <w:t xml:space="preserve"> is daarbij een belangrijk onderzoeksinstrument om de adaptieve vermogens vast tet stellen en biedt ook aanknopingspunten om gerichte </w:t>
            </w:r>
            <w:proofErr w:type="spellStart"/>
            <w:r w:rsidRPr="001029F0">
              <w:rPr>
                <w:rFonts w:ascii="Calibri" w:hAnsi="Calibri" w:cs="Calibri"/>
                <w:sz w:val="20"/>
                <w:szCs w:val="20"/>
              </w:rPr>
              <w:t>psychoeducatie</w:t>
            </w:r>
            <w:proofErr w:type="spellEnd"/>
            <w:r w:rsidRPr="001029F0">
              <w:rPr>
                <w:rFonts w:ascii="Calibri" w:hAnsi="Calibri" w:cs="Calibri"/>
                <w:sz w:val="20"/>
                <w:szCs w:val="20"/>
              </w:rPr>
              <w:t xml:space="preserve"> en adviezen te geven. Een nieuwe versie, de Vineland-3-NL,  wordt momenteel gevalideerd binnen verschillende onderzoekscentra, waaronder de Bascule.</w:t>
            </w:r>
          </w:p>
          <w:p w:rsidR="00190E08" w:rsidRPr="001029F0" w:rsidRDefault="00190E08" w:rsidP="00190E08">
            <w:pPr>
              <w:rPr>
                <w:sz w:val="20"/>
                <w:szCs w:val="20"/>
              </w:rPr>
            </w:pPr>
          </w:p>
        </w:tc>
        <w:tc>
          <w:tcPr>
            <w:tcW w:w="3119" w:type="dxa"/>
          </w:tcPr>
          <w:p w:rsidR="00190E08" w:rsidRPr="001029F0" w:rsidRDefault="00190E08" w:rsidP="00190E08">
            <w:pPr>
              <w:rPr>
                <w:sz w:val="20"/>
                <w:szCs w:val="20"/>
              </w:rPr>
            </w:pPr>
            <w:r w:rsidRPr="001029F0">
              <w:rPr>
                <w:sz w:val="20"/>
                <w:szCs w:val="20"/>
              </w:rPr>
              <w:t>Drs. Samantha van Hees, psycholoog</w:t>
            </w:r>
          </w:p>
        </w:tc>
      </w:tr>
      <w:tr w:rsidR="00190E08" w:rsidTr="00190E08">
        <w:tc>
          <w:tcPr>
            <w:tcW w:w="1696" w:type="dxa"/>
          </w:tcPr>
          <w:p w:rsidR="00190E08" w:rsidRPr="001029F0" w:rsidRDefault="00190E08" w:rsidP="00190E08">
            <w:pPr>
              <w:rPr>
                <w:sz w:val="20"/>
                <w:szCs w:val="20"/>
              </w:rPr>
            </w:pPr>
            <w:r w:rsidRPr="001029F0">
              <w:rPr>
                <w:sz w:val="20"/>
                <w:szCs w:val="20"/>
              </w:rPr>
              <w:t>09.20-09.35</w:t>
            </w:r>
          </w:p>
        </w:tc>
        <w:tc>
          <w:tcPr>
            <w:tcW w:w="9639" w:type="dxa"/>
          </w:tcPr>
          <w:p w:rsidR="00190E08" w:rsidRPr="001029F0" w:rsidRDefault="00190E08" w:rsidP="00190E08">
            <w:pPr>
              <w:rPr>
                <w:b/>
                <w:bCs/>
                <w:sz w:val="20"/>
                <w:szCs w:val="20"/>
              </w:rPr>
            </w:pPr>
            <w:r w:rsidRPr="001029F0">
              <w:rPr>
                <w:sz w:val="20"/>
                <w:szCs w:val="20"/>
              </w:rPr>
              <w:t xml:space="preserve">ontwikkelingen vanuit EG </w:t>
            </w:r>
            <w:proofErr w:type="spellStart"/>
            <w:r w:rsidRPr="001029F0">
              <w:rPr>
                <w:sz w:val="20"/>
                <w:szCs w:val="20"/>
              </w:rPr>
              <w:t>Infants</w:t>
            </w:r>
            <w:proofErr w:type="spellEnd"/>
            <w:r w:rsidRPr="001029F0">
              <w:rPr>
                <w:b/>
                <w:bCs/>
                <w:sz w:val="20"/>
                <w:szCs w:val="20"/>
              </w:rPr>
              <w:t xml:space="preserve"> </w:t>
            </w:r>
          </w:p>
          <w:p w:rsidR="00190E08" w:rsidRPr="001029F0" w:rsidRDefault="00190E08" w:rsidP="00190E08">
            <w:pPr>
              <w:rPr>
                <w:rFonts w:ascii="Calibri" w:hAnsi="Calibri" w:cs="Calibri"/>
                <w:b/>
                <w:bCs/>
                <w:sz w:val="20"/>
                <w:szCs w:val="20"/>
              </w:rPr>
            </w:pPr>
            <w:r w:rsidRPr="001029F0">
              <w:rPr>
                <w:b/>
                <w:bCs/>
                <w:sz w:val="20"/>
                <w:szCs w:val="20"/>
              </w:rPr>
              <w:t>‘Hoe vroeger, hoe beter!’</w:t>
            </w:r>
          </w:p>
          <w:p w:rsidR="00190E08" w:rsidRPr="001029F0" w:rsidRDefault="00190E08" w:rsidP="00190E08">
            <w:pPr>
              <w:rPr>
                <w:sz w:val="20"/>
                <w:szCs w:val="20"/>
              </w:rPr>
            </w:pPr>
            <w:r w:rsidRPr="001029F0">
              <w:rPr>
                <w:sz w:val="20"/>
                <w:szCs w:val="20"/>
              </w:rPr>
              <w:t xml:space="preserve">Voor het jonge kind (0 tot 6 jaar) in de Bascule is </w:t>
            </w:r>
            <w:r w:rsidRPr="001029F0">
              <w:rPr>
                <w:sz w:val="20"/>
                <w:szCs w:val="20"/>
                <w:u w:val="single"/>
              </w:rPr>
              <w:t>geen</w:t>
            </w:r>
            <w:r w:rsidRPr="001029F0">
              <w:rPr>
                <w:sz w:val="20"/>
                <w:szCs w:val="20"/>
              </w:rPr>
              <w:t xml:space="preserve"> wachttijd. In elk regioteam zit een behandelaar uit het infantteam. Het infantteam bestaat uit IMH-specialisten, klinisch psychologen, GZ-psychologen, PRT-therapeuten, PCIT-therapeut, EMDR-therapeut, creatief therapeut, muziektherapeut, ouderbegeleiders en een kinder- en jeugdpsychiater). Het infantteam komt wekelijks bijeen voor vragen vanuit de regioteams, intervisie en second-</w:t>
            </w:r>
            <w:proofErr w:type="spellStart"/>
            <w:r w:rsidRPr="001029F0">
              <w:rPr>
                <w:sz w:val="20"/>
                <w:szCs w:val="20"/>
              </w:rPr>
              <w:t>opnions</w:t>
            </w:r>
            <w:proofErr w:type="spellEnd"/>
            <w:r w:rsidRPr="001029F0">
              <w:rPr>
                <w:sz w:val="20"/>
                <w:szCs w:val="20"/>
              </w:rPr>
              <w:t xml:space="preserve">. Het infantteam zorgt voor interne bijscholing in de Bascule en is ook betrokken bij de fusie met Spirit, bij de </w:t>
            </w:r>
            <w:proofErr w:type="spellStart"/>
            <w:r w:rsidRPr="001029F0">
              <w:rPr>
                <w:sz w:val="20"/>
                <w:szCs w:val="20"/>
              </w:rPr>
              <w:t>OKT’s</w:t>
            </w:r>
            <w:proofErr w:type="spellEnd"/>
            <w:r w:rsidRPr="001029F0">
              <w:rPr>
                <w:sz w:val="20"/>
                <w:szCs w:val="20"/>
              </w:rPr>
              <w:t xml:space="preserve"> in de gemeente Amsterdam en is landelijk actief (AJK). Op de locatie Duivendrecht wordt momenteel gewerkt aan de inrichting van het ‘</w:t>
            </w:r>
            <w:proofErr w:type="spellStart"/>
            <w:r w:rsidRPr="001029F0">
              <w:rPr>
                <w:sz w:val="20"/>
                <w:szCs w:val="20"/>
              </w:rPr>
              <w:t>infantlab</w:t>
            </w:r>
            <w:proofErr w:type="spellEnd"/>
            <w:r w:rsidRPr="001029F0">
              <w:rPr>
                <w:sz w:val="20"/>
                <w:szCs w:val="20"/>
              </w:rPr>
              <w:t>’, waarvoor subsidie is gekregen. Deelname aan landelijk wetenschappelijk onderzoek loopt en nieuws over internationaal onderzoek wordt gepresenteerd.</w:t>
            </w:r>
          </w:p>
          <w:p w:rsidR="00190E08" w:rsidRPr="001029F0" w:rsidRDefault="00190E08" w:rsidP="00190E08">
            <w:pPr>
              <w:rPr>
                <w:sz w:val="20"/>
                <w:szCs w:val="20"/>
              </w:rPr>
            </w:pPr>
          </w:p>
        </w:tc>
        <w:tc>
          <w:tcPr>
            <w:tcW w:w="3119" w:type="dxa"/>
          </w:tcPr>
          <w:p w:rsidR="00190E08" w:rsidRPr="001029F0" w:rsidRDefault="00190E08" w:rsidP="00190E08">
            <w:pPr>
              <w:rPr>
                <w:sz w:val="20"/>
                <w:szCs w:val="20"/>
              </w:rPr>
            </w:pPr>
            <w:r w:rsidRPr="001029F0">
              <w:rPr>
                <w:sz w:val="20"/>
                <w:szCs w:val="20"/>
              </w:rPr>
              <w:t>Drs. T. Rozendaal, kinder- en jeugdp</w:t>
            </w:r>
            <w:r w:rsidR="001029F0">
              <w:rPr>
                <w:sz w:val="20"/>
                <w:szCs w:val="20"/>
              </w:rPr>
              <w:t>s</w:t>
            </w:r>
            <w:r w:rsidRPr="001029F0">
              <w:rPr>
                <w:sz w:val="20"/>
                <w:szCs w:val="20"/>
              </w:rPr>
              <w:t>ychiater, expertise coördinator infantpsychiatrie</w:t>
            </w:r>
          </w:p>
        </w:tc>
      </w:tr>
      <w:tr w:rsidR="00190E08" w:rsidTr="00190E08">
        <w:tc>
          <w:tcPr>
            <w:tcW w:w="1696" w:type="dxa"/>
          </w:tcPr>
          <w:p w:rsidR="00190E08" w:rsidRPr="001029F0" w:rsidRDefault="00190E08" w:rsidP="00190E08">
            <w:pPr>
              <w:rPr>
                <w:sz w:val="20"/>
                <w:szCs w:val="20"/>
              </w:rPr>
            </w:pPr>
            <w:r w:rsidRPr="001029F0">
              <w:rPr>
                <w:sz w:val="20"/>
                <w:szCs w:val="20"/>
              </w:rPr>
              <w:t>09.35-09.45</w:t>
            </w:r>
          </w:p>
        </w:tc>
        <w:tc>
          <w:tcPr>
            <w:tcW w:w="9639" w:type="dxa"/>
          </w:tcPr>
          <w:p w:rsidR="00190E08" w:rsidRPr="001029F0" w:rsidRDefault="00190E08" w:rsidP="00190E08">
            <w:pPr>
              <w:rPr>
                <w:sz w:val="20"/>
                <w:szCs w:val="20"/>
              </w:rPr>
            </w:pPr>
            <w:r w:rsidRPr="001029F0">
              <w:rPr>
                <w:sz w:val="20"/>
                <w:szCs w:val="20"/>
              </w:rPr>
              <w:t>Discussie en afsluiting</w:t>
            </w:r>
          </w:p>
        </w:tc>
        <w:tc>
          <w:tcPr>
            <w:tcW w:w="3119" w:type="dxa"/>
          </w:tcPr>
          <w:p w:rsidR="00190E08" w:rsidRPr="001029F0" w:rsidRDefault="00190E08" w:rsidP="00190E08">
            <w:pPr>
              <w:rPr>
                <w:sz w:val="20"/>
                <w:szCs w:val="20"/>
              </w:rPr>
            </w:pPr>
          </w:p>
        </w:tc>
      </w:tr>
      <w:tr w:rsidR="00190E08" w:rsidTr="00190E08">
        <w:tc>
          <w:tcPr>
            <w:tcW w:w="1696" w:type="dxa"/>
          </w:tcPr>
          <w:p w:rsidR="00190E08" w:rsidRDefault="00190E08" w:rsidP="00190E08"/>
        </w:tc>
        <w:tc>
          <w:tcPr>
            <w:tcW w:w="9639" w:type="dxa"/>
          </w:tcPr>
          <w:p w:rsidR="00190E08" w:rsidRDefault="00190E08" w:rsidP="00190E08"/>
        </w:tc>
        <w:tc>
          <w:tcPr>
            <w:tcW w:w="3119" w:type="dxa"/>
          </w:tcPr>
          <w:p w:rsidR="00190E08" w:rsidRDefault="00190E08" w:rsidP="00190E08"/>
        </w:tc>
      </w:tr>
    </w:tbl>
    <w:p w:rsidR="00190E08" w:rsidRDefault="00190E08" w:rsidP="00CD6640"/>
    <w:p w:rsidR="00CD6640" w:rsidRDefault="00CD6640" w:rsidP="00CD6640">
      <w:pPr>
        <w:rPr>
          <w:color w:val="1F497D"/>
        </w:rPr>
      </w:pPr>
    </w:p>
    <w:p w:rsidR="00CD6640" w:rsidRDefault="00CD6640" w:rsidP="00CD6640">
      <w:pPr>
        <w:rPr>
          <w:color w:val="1F497D"/>
        </w:rPr>
      </w:pPr>
    </w:p>
    <w:p w:rsidR="00CD6640" w:rsidRDefault="00CD6640"/>
    <w:sectPr w:rsidR="00CD6640" w:rsidSect="00190E08">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5"/>
    <w:rsid w:val="000C7DA9"/>
    <w:rsid w:val="001029F0"/>
    <w:rsid w:val="00175245"/>
    <w:rsid w:val="00190E08"/>
    <w:rsid w:val="003C760A"/>
    <w:rsid w:val="00CD6640"/>
    <w:rsid w:val="00D01E06"/>
    <w:rsid w:val="00D270A4"/>
    <w:rsid w:val="00E16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7CEA"/>
  <w15:chartTrackingRefBased/>
  <w15:docId w15:val="{F1570C00-FEE3-44EE-88BB-8BF50160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6640"/>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39"/>
    <w:rsid w:val="0019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Jansen</dc:creator>
  <cp:keywords/>
  <dc:description/>
  <cp:lastModifiedBy>Suzan Jansen</cp:lastModifiedBy>
  <cp:revision>7</cp:revision>
  <dcterms:created xsi:type="dcterms:W3CDTF">2019-03-18T12:04:00Z</dcterms:created>
  <dcterms:modified xsi:type="dcterms:W3CDTF">2019-03-18T14:00:00Z</dcterms:modified>
</cp:coreProperties>
</file>